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bookmarkStart w:id="0" w:name="_GoBack"/>
      <w:bookmarkEnd w:id="0"/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24D3742A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 xml:space="preserve">. </w:t>
      </w:r>
      <w:r w:rsidR="004C3AF2">
        <w:rPr>
          <w:rFonts w:cstheme="minorHAnsi"/>
          <w:b/>
          <w:sz w:val="32"/>
        </w:rPr>
        <w:t xml:space="preserve">a </w:t>
      </w:r>
      <w:r w:rsidR="00B750D0">
        <w:rPr>
          <w:rFonts w:cstheme="minorHAnsi"/>
          <w:b/>
          <w:sz w:val="32"/>
        </w:rPr>
        <w:t xml:space="preserve">razred 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7E6B73CE" w14:textId="55DF5556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4173317B" w:rsidR="006D0648" w:rsidRPr="006D0648" w:rsidRDefault="004C3AF2" w:rsidP="004C3AF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Skala</w:t>
      </w:r>
      <w:r w:rsidR="006D0648"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4F20E404" w:rsidR="006D0648" w:rsidRPr="00E401B9" w:rsidRDefault="004C3AF2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 % – 49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4E1F82C9" w:rsidR="006D0648" w:rsidRPr="00E401B9" w:rsidRDefault="004C3AF2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3FA6073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 w:rsidR="004C3AF2"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3D347DC5" w:rsidR="006D0648" w:rsidRPr="00E401B9" w:rsidRDefault="004C3AF2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89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53EF1CE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 w:rsidR="004C3AF2"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B6B6364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 xml:space="preserve">Prema predlošku te uz pomoć, pitanja i </w:t>
            </w:r>
            <w:proofErr w:type="spellStart"/>
            <w:r w:rsidRPr="00A31C87">
              <w:rPr>
                <w:rFonts w:cstheme="minorHAnsi"/>
                <w:bCs/>
                <w:sz w:val="24"/>
                <w:szCs w:val="24"/>
              </w:rPr>
              <w:t>podstrek</w:t>
            </w:r>
            <w:proofErr w:type="spellEnd"/>
            <w:r w:rsidRPr="00A31C87">
              <w:rPr>
                <w:rFonts w:cstheme="minorHAnsi"/>
                <w:bCs/>
                <w:sz w:val="24"/>
                <w:szCs w:val="24"/>
              </w:rPr>
              <w:t xml:space="preserve">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 xml:space="preserve">, djelomično upotrijebi neke nove riječi u skladu s temom ukoliko ima predložak. Rijetko </w:t>
            </w:r>
            <w:r>
              <w:rPr>
                <w:rFonts w:cstheme="minorHAnsi"/>
                <w:sz w:val="24"/>
                <w:szCs w:val="24"/>
              </w:rPr>
              <w:lastRenderedPageBreak/>
              <w:t>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</w:t>
            </w:r>
            <w:proofErr w:type="spellStart"/>
            <w:r>
              <w:rPr>
                <w:rFonts w:cstheme="minorHAnsi"/>
                <w:sz w:val="24"/>
                <w:szCs w:val="24"/>
              </w:rPr>
              <w:t>dž</w:t>
            </w:r>
            <w:proofErr w:type="spellEnd"/>
            <w:r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>
              <w:rPr>
                <w:rFonts w:cstheme="minorHAnsi"/>
                <w:sz w:val="24"/>
                <w:szCs w:val="24"/>
              </w:rPr>
              <w:t>ije</w:t>
            </w:r>
            <w:proofErr w:type="spellEnd"/>
            <w:r>
              <w:rPr>
                <w:rFonts w:cstheme="minorHAnsi"/>
                <w:sz w:val="24"/>
                <w:szCs w:val="24"/>
              </w:rPr>
              <w:t>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>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čava sadržaj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poslušanoga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 pitanja o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Kratko i nepotpuno potpuno odgovara na pitanja o slušanome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i objašnjava podatke u grafičkim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jednostavne podatke u grafičkim prikazima prema zadanom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prema predlošcima </w:t>
            </w: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 stalnu pomoć i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</w:t>
            </w:r>
            <w:r w:rsidRPr="00F6752E">
              <w:rPr>
                <w:rFonts w:cstheme="minorHAnsi"/>
                <w:sz w:val="24"/>
                <w:szCs w:val="24"/>
              </w:rPr>
              <w:lastRenderedPageBreak/>
              <w:t>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samostalno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bez traženja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</w:t>
            </w: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</w:t>
            </w:r>
            <w:r w:rsidRPr="00F3392D">
              <w:rPr>
                <w:rFonts w:cstheme="minorHAnsi"/>
                <w:sz w:val="24"/>
                <w:szCs w:val="24"/>
              </w:rPr>
              <w:lastRenderedPageBreak/>
              <w:t xml:space="preserve">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suučenika i/ili učitelja/ice,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likove s mjestom i vremenom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dodatna pitanja ili primjer povremeno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 povezuje likove s mjestom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većoj mjeri samostalno i uspješno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bez pomoći povezuje likove s mjestom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originalnost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Uspješno se i samostalno koristi jezičnim vještinama, aktivnim rječnikom i temeljnim znanjima radi oblikovanja uradaka u kojima dolazi do izražaja kreativnost, 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različite izvore informacija: 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informacija: digitalni udžbenici,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informacija: digitalni udžbenici, tekstovi u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različite izvore informacija: digitalni udžbenici, tekstovi u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3F93460B" w:rsidR="00426538" w:rsidRDefault="00426538" w:rsidP="00445146">
      <w:pPr>
        <w:rPr>
          <w:rFonts w:cstheme="minorHAnsi"/>
        </w:rPr>
      </w:pPr>
    </w:p>
    <w:p w14:paraId="0FF2DD5B" w14:textId="77777777" w:rsidR="00426538" w:rsidRDefault="00426538" w:rsidP="00445146">
      <w:pPr>
        <w:rPr>
          <w:rFonts w:cstheme="minorHAnsi"/>
        </w:rPr>
      </w:pPr>
    </w:p>
    <w:p w14:paraId="76F035A2" w14:textId="78468428" w:rsidR="0097389E" w:rsidRDefault="0097389E" w:rsidP="00445146">
      <w:pPr>
        <w:rPr>
          <w:rFonts w:cstheme="minorHAnsi"/>
        </w:rPr>
      </w:pPr>
    </w:p>
    <w:p w14:paraId="4448D98F" w14:textId="39CF137F" w:rsidR="0097389E" w:rsidRDefault="0097389E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97BAF05" w14:textId="77777777" w:rsidR="004C3AF2" w:rsidRDefault="004C3AF2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Značenje crta: </w:t>
      </w:r>
      <w:proofErr w:type="spellStart"/>
      <w:r w:rsidRPr="00426538">
        <w:rPr>
          <w:rFonts w:asciiTheme="minorHAnsi" w:hAnsiTheme="minorHAnsi" w:cstheme="minorHAnsi"/>
          <w:i/>
          <w:iCs/>
        </w:rPr>
        <w:t>obrisne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Crtačka, slikarska i 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plastička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3436F57" w14:textId="7D809C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8438A49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</w:t>
      </w:r>
      <w:proofErr w:type="spellStart"/>
      <w:r w:rsidRPr="00426538">
        <w:rPr>
          <w:rFonts w:asciiTheme="minorHAnsi" w:hAnsiTheme="minorHAnsi" w:cstheme="minorHAnsi"/>
          <w:i/>
          <w:iCs/>
        </w:rPr>
        <w:t>plastički</w:t>
      </w:r>
      <w:proofErr w:type="spellEnd"/>
      <w:r w:rsidRPr="00426538">
        <w:rPr>
          <w:rFonts w:asciiTheme="minorHAnsi" w:hAnsiTheme="minorHAnsi" w:cstheme="minorHAnsi"/>
          <w:i/>
          <w:iCs/>
        </w:rPr>
        <w:t xml:space="preserve">: glina, </w:t>
      </w:r>
      <w:proofErr w:type="spellStart"/>
      <w:r w:rsidRPr="00426538">
        <w:rPr>
          <w:rFonts w:asciiTheme="minorHAnsi" w:hAnsiTheme="minorHAnsi" w:cstheme="minorHAnsi"/>
          <w:i/>
          <w:iCs/>
        </w:rPr>
        <w:t>glinamol</w:t>
      </w:r>
      <w:proofErr w:type="spellEnd"/>
      <w:r w:rsidRPr="00426538">
        <w:rPr>
          <w:rFonts w:asciiTheme="minorHAnsi" w:hAnsiTheme="minorHAnsi" w:cstheme="minorHAnsi"/>
          <w:i/>
          <w:iCs/>
        </w:rPr>
        <w:t>, papir-plastika, ambalaža i drugi materijali, aluminijska folija, kaširani papir (papir mâšé).</w:t>
      </w:r>
    </w:p>
    <w:p w14:paraId="1DBDDB5D" w14:textId="720BCAE0" w:rsidR="007329B7" w:rsidRPr="004C3AF2" w:rsidRDefault="00426538" w:rsidP="004C3AF2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 xml:space="preserve">Grafički: </w:t>
      </w:r>
      <w:proofErr w:type="spellStart"/>
      <w:r w:rsidRPr="00426538">
        <w:rPr>
          <w:rFonts w:asciiTheme="minorHAnsi" w:hAnsiTheme="minorHAnsi" w:cstheme="minorHAnsi"/>
          <w:i/>
          <w:iCs/>
        </w:rPr>
        <w:t>m</w:t>
      </w:r>
      <w:r w:rsidR="004C3AF2">
        <w:rPr>
          <w:rFonts w:asciiTheme="minorHAnsi" w:hAnsiTheme="minorHAnsi" w:cstheme="minorHAnsi"/>
          <w:i/>
          <w:iCs/>
        </w:rPr>
        <w:t>onotipija</w:t>
      </w:r>
      <w:proofErr w:type="spellEnd"/>
      <w:r w:rsidR="004C3AF2">
        <w:rPr>
          <w:rFonts w:asciiTheme="minorHAnsi" w:hAnsiTheme="minorHAnsi" w:cstheme="minorHAnsi"/>
          <w:i/>
          <w:iCs/>
        </w:rPr>
        <w:t>, kartonski tisak.</w:t>
      </w:r>
    </w:p>
    <w:p w14:paraId="53B663E3" w14:textId="1722D6E1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2E9A404B" w14:textId="77777777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7690A909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Značenje crta: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obrisne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Crtačka, slikarska i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Masa i prostor: različiti odnosi mase i prostora;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 xml:space="preserve">Učenik odgovara likovnim i vizualnim </w:t>
            </w:r>
            <w:r w:rsidRPr="00731162">
              <w:rPr>
                <w:rFonts w:cstheme="minorHAnsi"/>
                <w:sz w:val="24"/>
                <w:szCs w:val="24"/>
              </w:rPr>
              <w:lastRenderedPageBreak/>
              <w:t>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Crtački: olovka, ugljen, kreda, flomaster, tuš, pero, kist,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Crtački: olovka, ugljen, kreda, flomaster,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Slikarski: akvarel, gvaš, tempere, pastel,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Slikarski: akvarel, gvaš, tempere, pastel,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OŠ LK A.3.3. Učenik u vlastitome radu koristi tehničke i izražajne mogućnosti </w:t>
            </w:r>
            <w:proofErr w:type="spellStart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novomedijskih</w:t>
            </w:r>
            <w:proofErr w:type="spellEnd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4C3AF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4C3A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djela i različite oblike izražavanja iz područja likovnih i vizualnih umjetnosti: crtež, slikarstvo, skulptura, grafika, vizualne komunikacije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i istražuje djela i različite oblike izražavanja iz područja likovnih i vizualnih umjetnosti: crtež, slikarstvo, skulptura, grafika, vizualne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komunikacije i dizajn (grafički, produkt), 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organizacijom čovjek prilagođava svoj 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6481CFE6" w14:textId="7D7B1698" w:rsidR="007329B7" w:rsidRDefault="007329B7" w:rsidP="007329B7">
      <w:pPr>
        <w:rPr>
          <w:rFonts w:cstheme="minorHAnsi"/>
        </w:rPr>
      </w:pPr>
    </w:p>
    <w:p w14:paraId="350AA618" w14:textId="6C3462B4" w:rsidR="007A4C51" w:rsidRPr="00997EE6" w:rsidRDefault="004C3AF2" w:rsidP="007A4C51">
      <w:pPr>
        <w:ind w:left="-426" w:firstLine="426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</w:t>
      </w:r>
      <w:r w:rsidR="007A4C51" w:rsidRPr="00997EE6">
        <w:rPr>
          <w:rFonts w:cstheme="minorHAnsi"/>
          <w:b/>
          <w:sz w:val="28"/>
        </w:rPr>
        <w:t xml:space="preserve">AVNI PREDMET:  </w:t>
      </w:r>
      <w:r w:rsidR="007A4C51">
        <w:rPr>
          <w:rFonts w:cstheme="minorHAnsi"/>
          <w:b/>
          <w:sz w:val="28"/>
        </w:rPr>
        <w:t>GLAZBENA KULTURA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6FE4F08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</w:t>
            </w:r>
            <w:r w:rsidR="004C3AF2">
              <w:rPr>
                <w:rFonts w:eastAsia="Times New Roman" w:cstheme="minorHAnsi"/>
                <w:sz w:val="24"/>
                <w:szCs w:val="24"/>
                <w:lang w:eastAsia="hr-HR"/>
              </w:rPr>
              <w:t>večana glazba, glazba za ples).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4C3AF2">
      <w:pPr>
        <w:pStyle w:val="box459495"/>
        <w:jc w:val="both"/>
        <w:rPr>
          <w:rFonts w:asciiTheme="minorHAnsi" w:hAnsiTheme="minorHAnsi" w:cstheme="minorHAnsi"/>
          <w:b/>
          <w:szCs w:val="22"/>
        </w:rPr>
      </w:pP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mjesne 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mjesne 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mjesne 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tablicu mjesnih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i samostalno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učitelja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Pisano zbraja i oduzima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Uz pomoć učitelja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Djelomično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i argumentirano 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stečene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četiri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samostalno 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stečene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jednostavnim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brzo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brzo tumači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Masu zadanih predmeta važe na neispavan način, ne vodeći računa o </w:t>
            </w: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zadanih predmeta važe na ispravan način, podatke zapisuje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različite vage, njihove namjene te  postupak vaganja na njima uz primjenu optimalnih 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proofErr w:type="spellStart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proofErr w:type="spellEnd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rješenja prilikom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vezu između oblika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4C3AF2" w:rsidRDefault="008E203A" w:rsidP="008E203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C3AF2">
              <w:rPr>
                <w:rFonts w:eastAsia="Times New Roman" w:cstheme="minorHAnsi"/>
                <w:sz w:val="18"/>
                <w:szCs w:val="18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4C3AF2" w:rsidRDefault="008E203A" w:rsidP="008E203A">
            <w:pPr>
              <w:rPr>
                <w:rFonts w:cstheme="minorHAnsi"/>
                <w:sz w:val="18"/>
                <w:szCs w:val="18"/>
              </w:rPr>
            </w:pPr>
            <w:r w:rsidRPr="004C3AF2">
              <w:rPr>
                <w:rFonts w:cstheme="minorHAnsi"/>
                <w:sz w:val="18"/>
                <w:szCs w:val="18"/>
              </w:rPr>
              <w:t xml:space="preserve">Učenik ne ostvaruje sastavnicu ishoda </w:t>
            </w:r>
            <w:r w:rsidRPr="004C3AF2">
              <w:rPr>
                <w:rFonts w:cstheme="minorHAnsi"/>
                <w:i/>
                <w:sz w:val="18"/>
                <w:szCs w:val="18"/>
              </w:rPr>
              <w:t>„</w:t>
            </w:r>
            <w:r w:rsidRPr="004C3AF2">
              <w:rPr>
                <w:rFonts w:eastAsia="Times New Roman" w:cstheme="minorHAnsi"/>
                <w:i/>
                <w:iCs/>
                <w:sz w:val="18"/>
                <w:szCs w:val="18"/>
                <w:lang w:eastAsia="hr-HR"/>
              </w:rPr>
              <w:t>služi se različitim prikazima podataka</w:t>
            </w:r>
            <w:r w:rsidRPr="004C3AF2">
              <w:rPr>
                <w:rFonts w:eastAsia="Times New Roman" w:cstheme="minorHAnsi"/>
                <w:i/>
                <w:sz w:val="18"/>
                <w:szCs w:val="18"/>
                <w:lang w:eastAsia="hr-HR"/>
              </w:rPr>
              <w:t>“</w:t>
            </w:r>
            <w:r w:rsidRPr="004C3AF2">
              <w:rPr>
                <w:rFonts w:cstheme="minorHAnsi"/>
                <w:sz w:val="18"/>
                <w:szCs w:val="18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4C3AF2" w:rsidRDefault="008E203A" w:rsidP="008E203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C3AF2">
              <w:rPr>
                <w:rFonts w:eastAsia="Times New Roman" w:cstheme="minorHAnsi"/>
                <w:sz w:val="18"/>
                <w:szCs w:val="18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4C3AF2" w:rsidRDefault="008E203A" w:rsidP="008E203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C3AF2">
              <w:rPr>
                <w:rFonts w:eastAsia="Times New Roman" w:cstheme="minorHAnsi"/>
                <w:sz w:val="18"/>
                <w:szCs w:val="18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4C3AF2" w:rsidRDefault="008E203A" w:rsidP="008E203A">
            <w:pPr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4C3AF2">
              <w:rPr>
                <w:rFonts w:eastAsia="Times New Roman" w:cstheme="minorHAnsi"/>
                <w:sz w:val="18"/>
                <w:szCs w:val="18"/>
                <w:lang w:eastAsia="hr-HR"/>
              </w:rPr>
              <w:t>Razvrstava podatke u različite vrste grafova pri čemu odabire primjerene prikaze za određeni podatak.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4C3AF2" w:rsidRDefault="008E203A" w:rsidP="008E203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C3AF2">
              <w:rPr>
                <w:rFonts w:eastAsia="Times New Roman" w:cstheme="minorHAnsi"/>
                <w:sz w:val="18"/>
                <w:szCs w:val="18"/>
                <w:lang w:eastAsia="hr-HR"/>
              </w:rPr>
              <w:t>Razvrstava podatke u različite vrste grafova koje sam/sama konstruira i osmišljava 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4C3AF2">
      <w:pPr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4C3AF2">
      <w:pPr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da se tijelo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da se tijelo 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 se tijelo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 da se tijelo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 da se tijelo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lastRenderedPageBreak/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Teže shvaća pojam odgovornosti i odgovornog ponašanja te je potrebno primjerima i konkretnim uputama (na primjer na putu od škole do kuće, boravak u Školi u 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lastRenderedPageBreak/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 prošlost i sadašnjost i predviđa promjene i odnose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proofErr w:type="spellStart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proofErr w:type="spellEnd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ih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salbo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snalazi se u zavičajnome prostoru prema glavnim i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prirodnu i društvenu raznolikost, posebnost i prepoznatljivost zavičaja koristeći se različitim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načine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primjere i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primjere i načine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odnose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odnose i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odnose i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odnose i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prednosti i nedostatke zavičajnoga okružja i povezuje ih s gospodarskim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navodi prednosti i nedostatke zavičajnoga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 s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prednosti i nedostatke zavičajnoga okružja i povezuje ih s gospodarskim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prednosti i nedostatke zavičajnoga okružja i povezuje ih s gospodarskim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pretvorbu energije iz jednoga 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avodi prema obrađenome primjeru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Rijetko postavlja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pitanja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7A4B19DA" w14:textId="25311ACF" w:rsidR="00786248" w:rsidRDefault="004C3AF2" w:rsidP="00786248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</w:t>
      </w:r>
      <w:r w:rsidR="00786248" w:rsidRPr="00997EE6">
        <w:rPr>
          <w:rFonts w:cstheme="minorHAnsi"/>
          <w:b/>
          <w:sz w:val="28"/>
        </w:rPr>
        <w:t xml:space="preserve">ASTAVNI PREDMET:  </w:t>
      </w:r>
      <w:r w:rsidR="00786248">
        <w:rPr>
          <w:rFonts w:cstheme="minorHAnsi"/>
          <w:b/>
          <w:sz w:val="28"/>
        </w:rPr>
        <w:t>TJELESNA I ZDRAVSTVENA KULTURA</w:t>
      </w: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11025BA9" w14:textId="228324A2" w:rsidR="00683694" w:rsidRDefault="00683694" w:rsidP="00445146">
      <w:pPr>
        <w:rPr>
          <w:rFonts w:cstheme="minorHAnsi"/>
          <w:b/>
          <w:sz w:val="24"/>
        </w:rPr>
      </w:pPr>
    </w:p>
    <w:p w14:paraId="1C212435" w14:textId="3E76D86D" w:rsidR="00683694" w:rsidRDefault="00683694" w:rsidP="00445146">
      <w:pPr>
        <w:rPr>
          <w:rFonts w:cstheme="minorHAnsi"/>
          <w:b/>
          <w:sz w:val="24"/>
        </w:rPr>
      </w:pPr>
    </w:p>
    <w:p w14:paraId="705998E6" w14:textId="384B9E73" w:rsidR="00683694" w:rsidRDefault="00683694" w:rsidP="00445146">
      <w:pPr>
        <w:rPr>
          <w:rFonts w:cstheme="minorHAnsi"/>
          <w:b/>
          <w:sz w:val="24"/>
        </w:rPr>
      </w:pPr>
    </w:p>
    <w:p w14:paraId="480A7506" w14:textId="54383973" w:rsidR="00683694" w:rsidRDefault="00683694" w:rsidP="00445146">
      <w:pPr>
        <w:rPr>
          <w:rFonts w:cstheme="minorHAnsi"/>
          <w:b/>
          <w:sz w:val="24"/>
        </w:rPr>
      </w:pPr>
    </w:p>
    <w:p w14:paraId="0C00DB8E" w14:textId="17F383D8" w:rsidR="00683694" w:rsidRDefault="00683694" w:rsidP="00445146">
      <w:pPr>
        <w:rPr>
          <w:rFonts w:cstheme="minorHAnsi"/>
          <w:b/>
          <w:sz w:val="24"/>
        </w:rPr>
      </w:pPr>
    </w:p>
    <w:p w14:paraId="7415C437" w14:textId="02156E84" w:rsidR="00683694" w:rsidRDefault="00683694" w:rsidP="00445146">
      <w:pPr>
        <w:rPr>
          <w:rFonts w:cstheme="minorHAnsi"/>
          <w:b/>
          <w:sz w:val="24"/>
        </w:rPr>
      </w:pPr>
    </w:p>
    <w:p w14:paraId="0B3D6D3D" w14:textId="4E9461E0" w:rsidR="00683694" w:rsidRDefault="00683694" w:rsidP="00445146">
      <w:pPr>
        <w:rPr>
          <w:rFonts w:cstheme="minorHAnsi"/>
          <w:b/>
          <w:sz w:val="24"/>
        </w:rPr>
      </w:pPr>
    </w:p>
    <w:p w14:paraId="2D7BBF5C" w14:textId="7F68F3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A31C" w14:textId="77777777" w:rsidR="00A14AB3" w:rsidRDefault="00A14AB3" w:rsidP="00394D17">
      <w:pPr>
        <w:spacing w:after="0" w:line="240" w:lineRule="auto"/>
      </w:pPr>
      <w:r>
        <w:separator/>
      </w:r>
    </w:p>
  </w:endnote>
  <w:endnote w:type="continuationSeparator" w:id="0">
    <w:p w14:paraId="35700DEF" w14:textId="77777777" w:rsidR="00A14AB3" w:rsidRDefault="00A14AB3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81BF" w14:textId="77777777" w:rsidR="00A14AB3" w:rsidRDefault="00A14AB3" w:rsidP="00394D17">
      <w:pPr>
        <w:spacing w:after="0" w:line="240" w:lineRule="auto"/>
      </w:pPr>
      <w:r>
        <w:separator/>
      </w:r>
    </w:p>
  </w:footnote>
  <w:footnote w:type="continuationSeparator" w:id="0">
    <w:p w14:paraId="7A43448C" w14:textId="77777777" w:rsidR="00A14AB3" w:rsidRDefault="00A14AB3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AF2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87934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2133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14AB3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D568F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docId w15:val="{F71FF4B1-EBB2-453E-B044-61EB88B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1C14-BDCC-4539-ADEC-992E33D8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23104</Words>
  <Characters>131694</Characters>
  <Application>Microsoft Office Word</Application>
  <DocSecurity>0</DocSecurity>
  <Lines>1097</Lines>
  <Paragraphs>308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Korisnik</cp:lastModifiedBy>
  <cp:revision>2</cp:revision>
  <cp:lastPrinted>2019-12-30T05:49:00Z</cp:lastPrinted>
  <dcterms:created xsi:type="dcterms:W3CDTF">2024-10-23T06:58:00Z</dcterms:created>
  <dcterms:modified xsi:type="dcterms:W3CDTF">2024-10-23T06:58:00Z</dcterms:modified>
</cp:coreProperties>
</file>